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интруд-изменил-индикатор-риска"/>
    <w:p>
      <w:pPr>
        <w:pStyle w:val="Heading3"/>
      </w:pPr>
      <w:r>
        <w:t xml:space="preserve">Минтруд изменил индикатор риска</w:t>
      </w:r>
    </w:p>
    <w:p>
      <w:pPr>
        <w:pStyle w:val="FirstParagraph"/>
      </w:pPr>
      <w:r>
        <w:t xml:space="preserve">15.03.2025</w:t>
      </w:r>
    </w:p>
    <w:p>
      <w:pPr>
        <w:pStyle w:val="BodyText"/>
      </w:pPr>
      <w:r>
        <w:t xml:space="preserve">Утверждены изменения в подход к определению индикаторов риска, связанных с увеличением количества несчастных случаев на производстве с легкими последствиями.</w:t>
      </w:r>
    </w:p>
    <w:p>
      <w:pPr>
        <w:pStyle w:val="BodyText"/>
      </w:pPr>
      <w:r>
        <w:t xml:space="preserve">Согласно</w:t>
      </w:r>
      <w:r>
        <w:t xml:space="preserve"> </w:t>
      </w:r>
      <w:hyperlink r:id="rId20">
        <w:r>
          <w:rPr>
            <w:rStyle w:val="Hyperlink"/>
          </w:rPr>
          <w:t xml:space="preserve">Приказу Минтруда России от 29.01.2025 № 35н</w:t>
        </w:r>
      </w:hyperlink>
      <w:r>
        <w:t xml:space="preserve"> </w:t>
      </w:r>
      <w:r>
        <w:t xml:space="preserve">внеплановые проверки будут инициироваться при увеличении количества несчастных случаев следующим образом:</w:t>
      </w:r>
    </w:p>
    <w:p>
      <w:pPr>
        <w:pStyle w:val="BodyText"/>
      </w:pPr>
      <w:r>
        <w:t xml:space="preserve">➕на 2 и более случая — при среднесписочной численности до 50 человек;</w:t>
      </w:r>
    </w:p>
    <w:p>
      <w:pPr>
        <w:pStyle w:val="BodyText"/>
      </w:pPr>
      <w:r>
        <w:t xml:space="preserve">➕на 3 и более случая — при численности от 51 до 100 человек;</w:t>
      </w:r>
    </w:p>
    <w:p>
      <w:pPr>
        <w:pStyle w:val="BodyText"/>
      </w:pPr>
      <w:r>
        <w:t xml:space="preserve">➕на 4 и более случая — при численности от 101 до 500 человек;</w:t>
      </w:r>
    </w:p>
    <w:p>
      <w:pPr>
        <w:pStyle w:val="BodyText"/>
      </w:pPr>
      <w:r>
        <w:t xml:space="preserve">➕на 5 и более случаев — при численности от 501 до 1000 человек;</w:t>
      </w:r>
    </w:p>
    <w:p>
      <w:pPr>
        <w:pStyle w:val="BodyText"/>
      </w:pPr>
      <w:r>
        <w:t xml:space="preserve">➕на 6 и более случаев — при численности от 1001 до 5000 человек;</w:t>
      </w:r>
    </w:p>
    <w:p>
      <w:pPr>
        <w:pStyle w:val="BodyText"/>
      </w:pPr>
      <w:r>
        <w:t xml:space="preserve">➕на 7 и более случаев — при численности от 5001 до 10 000 человек;</w:t>
      </w:r>
    </w:p>
    <w:p>
      <w:pPr>
        <w:pStyle w:val="BodyText"/>
      </w:pPr>
      <w:r>
        <w:t xml:space="preserve">➕на 8 и более случаев — при численности более 10 000 человек.</w:t>
      </w:r>
    </w:p>
    <w:p>
      <w:pPr>
        <w:pStyle w:val="BodyText"/>
      </w:pPr>
      <w:r>
        <w:t xml:space="preserve">Приказ вступит в силу с 15 марта 2025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http://sppm.mos.ru/okhrana-truda/vazhnaya-informatsiya/detail/12863033.html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863033.html" TargetMode="External" /><Relationship Type="http://schemas.openxmlformats.org/officeDocument/2006/relationships/hyperlink" Id="rId21" Target="https://mcot.ru/novosti/mintrud-izmenil-indikator-riska.html" TargetMode="External" /><Relationship Type="http://schemas.openxmlformats.org/officeDocument/2006/relationships/hyperlink" Id="rId20" Target="https://www.consultant.ru/document/cons_doc_LAW_5002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863033.html" TargetMode="External" /><Relationship Type="http://schemas.openxmlformats.org/officeDocument/2006/relationships/hyperlink" Id="rId21" Target="https://mcot.ru/novosti/mintrud-izmenil-indikator-riska.html" TargetMode="External" /><Relationship Type="http://schemas.openxmlformats.org/officeDocument/2006/relationships/hyperlink" Id="rId20" Target="https://www.consultant.ru/document/cons_doc_LAW_5002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2025-03-22T02:02:16Z</dcterms:created>
  <dcterms:modified xsi:type="dcterms:W3CDTF">2025-03-22T02:02:16Z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