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e531f95174c7e3155aa7a369b94e72355fdc45"/>
    <w:p>
      <w:pPr>
        <w:pStyle w:val="Heading3"/>
      </w:pPr>
      <w:r>
        <w:t xml:space="preserve">Усиление контроля за спецоценкой условий труда</w:t>
      </w:r>
    </w:p>
    <w:p>
      <w:pPr>
        <w:pStyle w:val="FirstParagraph"/>
      </w:pPr>
      <w:r>
        <w:t xml:space="preserve">18.02.2025</w:t>
      </w:r>
    </w:p>
    <w:p>
      <w:pPr>
        <w:pStyle w:val="BodyText"/>
      </w:pPr>
      <w:r>
        <w:t xml:space="preserve">Правительство Российской Федерации изменило часть вторую статьи 353 Трудового кодекса РФ для того, чтобы уточнить предмет федерального государственного контроля (надзора) за соблюдением норм трудового законодательства.</w:t>
      </w:r>
    </w:p>
    <w:p>
      <w:pPr>
        <w:pStyle w:val="BodyText"/>
      </w:pPr>
      <w:r>
        <w:t xml:space="preserve">В частности, согласно</w:t>
      </w:r>
      <w:r>
        <w:t xml:space="preserve"> </w:t>
      </w:r>
      <w:hyperlink r:id="rId20">
        <w:r>
          <w:rPr>
            <w:rStyle w:val="Hyperlink"/>
          </w:rPr>
          <w:t xml:space="preserve">Федеральному закону от 28.12.2024 N 541-ФЗ</w:t>
        </w:r>
      </w:hyperlink>
      <w:r>
        <w:t xml:space="preserve">, расширена сфера контроля, теперь не только за работодателями, но и за организациями, занимающимися проведением специальной оценки условий труда (СОУТ).</w:t>
      </w:r>
    </w:p>
    <w:p>
      <w:pPr>
        <w:pStyle w:val="BodyText"/>
      </w:pPr>
      <w:r>
        <w:t xml:space="preserve">Федеральный закон вступит в силу с 1 марта 2025 года.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Источник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http://sppm.mos.ru/okhrana-truda/vazhnaya-informatsiya/detail/12863102.html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ppm.mos.ru" TargetMode="External" /><Relationship Type="http://schemas.openxmlformats.org/officeDocument/2006/relationships/hyperlink" Id="rId22" Target="http://sppm.mos.ru/okhrana-truda/vazhnaya-informatsiya/detail/12863102.html" TargetMode="External" /><Relationship Type="http://schemas.openxmlformats.org/officeDocument/2006/relationships/hyperlink" Id="rId21" Target="https://mcot.ru/novosti/usilenie-kontrolya-za-specocenkoj-uslovij-truda.html" TargetMode="External" /><Relationship Type="http://schemas.openxmlformats.org/officeDocument/2006/relationships/hyperlink" Id="rId20" Target="https://normativ.kontur.ru/document?moduleId=1&amp;documentId=48550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ppm.mos.ru" TargetMode="External" /><Relationship Type="http://schemas.openxmlformats.org/officeDocument/2006/relationships/hyperlink" Id="rId22" Target="http://sppm.mos.ru/okhrana-truda/vazhnaya-informatsiya/detail/12863102.html" TargetMode="External" /><Relationship Type="http://schemas.openxmlformats.org/officeDocument/2006/relationships/hyperlink" Id="rId21" Target="https://mcot.ru/novosti/usilenie-kontrolya-za-specocenkoj-uslovij-truda.html" TargetMode="External" /><Relationship Type="http://schemas.openxmlformats.org/officeDocument/2006/relationships/hyperlink" Id="rId20" Target="https://normativ.kontur.ru/document?moduleId=1&amp;documentId=48550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2025-03-22T01:50:29Z</dcterms:created>
  <dcterms:modified xsi:type="dcterms:W3CDTF">2025-03-22T01:50:29Z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