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1aeedebb810efc92b4112c1dffb32931fbeefb"/>
    <w:p>
      <w:pPr>
        <w:pStyle w:val="Heading3"/>
      </w:pPr>
      <w:r>
        <w:t xml:space="preserve">Новые виды деятельности в классификации профессиональных рисков</w:t>
      </w:r>
    </w:p>
    <w:p>
      <w:pPr>
        <w:pStyle w:val="FirstParagraph"/>
      </w:pPr>
      <w:r>
        <w:t xml:space="preserve">15.05.2025</w:t>
      </w:r>
    </w:p>
    <w:p>
      <w:pPr>
        <w:pStyle w:val="BodyText"/>
      </w:pPr>
      <w:r>
        <w:t xml:space="preserve">Минтруд РФ подготовил</w:t>
      </w:r>
      <w:r>
        <w:t xml:space="preserve"> </w:t>
      </w:r>
      <w:hyperlink r:id="rId20">
        <w:r>
          <w:rPr>
            <w:rStyle w:val="Hyperlink"/>
          </w:rPr>
          <w:t xml:space="preserve">Проект</w:t>
        </w:r>
      </w:hyperlink>
      <w:r>
        <w:t xml:space="preserve"> </w:t>
      </w:r>
      <w:r>
        <w:t xml:space="preserve">Приказа О внесении изменений в Классификацию видов экономической деятельности по классам профессионального риска. В классификатор добавлено 22 новых кода ОКВЭД, а также скорректированы 3 существующих.</w:t>
      </w:r>
    </w:p>
    <w:p>
      <w:pPr>
        <w:pStyle w:val="BodyText"/>
      </w:pPr>
      <w:r>
        <w:t xml:space="preserve">В раздел «1 класс» добавят деятельность, связанную с подготовкой шерсти, полиграфией, соцсетями и организацией мероприятий. В раздел «3 класс» включат различные виды охоты, включая спортивную и научную. В раздел «12 класс» войдёт производство сервисных роботов.</w:t>
      </w:r>
    </w:p>
    <w:p>
      <w:pPr>
        <w:pStyle w:val="BodyText"/>
      </w:pPr>
      <w:r>
        <w:t xml:space="preserve">Проект находится на этапе Подведения итогов общественного обсуждения.</w:t>
      </w:r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Источник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http://sppm.mos.ru/okhrana-truda/vazhnaya-informatsiya/detail/12981049.html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ppm.mos.ru" TargetMode="External" /><Relationship Type="http://schemas.openxmlformats.org/officeDocument/2006/relationships/hyperlink" Id="rId22" Target="http://sppm.mos.ru/okhrana-truda/vazhnaya-informatsiya/detail/12981049.html" TargetMode="External" /><Relationship Type="http://schemas.openxmlformats.org/officeDocument/2006/relationships/hyperlink" Id="rId21" Target="https://mcot.ru/novosti/novye-vidy-deyatelnosti-v-klassifikacii-professionalnyh-riskov.html" TargetMode="External" /><Relationship Type="http://schemas.openxmlformats.org/officeDocument/2006/relationships/hyperlink" Id="rId20" Target="https://regulation.gov.ru/Regulation/Npa/PublicView?npaID=15653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ppm.mos.ru" TargetMode="External" /><Relationship Type="http://schemas.openxmlformats.org/officeDocument/2006/relationships/hyperlink" Id="rId22" Target="http://sppm.mos.ru/okhrana-truda/vazhnaya-informatsiya/detail/12981049.html" TargetMode="External" /><Relationship Type="http://schemas.openxmlformats.org/officeDocument/2006/relationships/hyperlink" Id="rId21" Target="https://mcot.ru/novosti/novye-vidy-deyatelnosti-v-klassifikacii-professionalnyh-riskov.html" TargetMode="External" /><Relationship Type="http://schemas.openxmlformats.org/officeDocument/2006/relationships/hyperlink" Id="rId20" Target="https://regulation.gov.ru/Regulation/Npa/PublicView?npaID=15653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2025-05-26T07:27:52Z</dcterms:created>
  <dcterms:modified xsi:type="dcterms:W3CDTF">2025-05-26T07:27:52Z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