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овые-особенности-соут-для-медработников"/>
    <w:p>
      <w:pPr>
        <w:pStyle w:val="Heading3"/>
      </w:pPr>
      <w:r>
        <w:t xml:space="preserve">Новые особенности СОУТ для медработников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Минтруд России</w:t>
      </w:r>
      <w:r>
        <w:t xml:space="preserve"> </w:t>
      </w:r>
      <w:hyperlink r:id="rId20">
        <w:r>
          <w:rPr>
            <w:rStyle w:val="Hyperlink"/>
          </w:rPr>
          <w:t xml:space="preserve">Приказом 10.04.2025 № 197н</w:t>
        </w:r>
      </w:hyperlink>
      <w:r>
        <w:t xml:space="preserve"> </w:t>
      </w:r>
      <w:r>
        <w:t xml:space="preserve">обновил особенности проведения специальной оценки условий труда для отдельных категорий медицинских работников.</w:t>
      </w:r>
    </w:p>
    <w:p>
      <w:pPr>
        <w:pStyle w:val="BodyText"/>
      </w:pPr>
      <w:r>
        <w:t xml:space="preserve">СОУТ для скорой помощи будут проводить в машинах и на станциях без пациентов. В реанимациях и операционных учтут микробиологическую среду и работу оборудования. Для медоборудования предварительно изучат техдокументацию, чтобы не нарушить его работу. В психиатрии учтут стресс и угрозы безопасности. Отдельно утвержден список чувствительного оборудования, включая диагностические и роботизированные системы.</w:t>
      </w:r>
    </w:p>
    <w:p>
      <w:pPr>
        <w:pStyle w:val="BodyText"/>
      </w:pPr>
      <w:r>
        <w:t xml:space="preserve">Приказ вступит в силу с 1 сентября 2025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http://sppm.mos.ru/okhrana-truda/vazhnaya-informatsiya/detail/13042061.html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3042061.html" TargetMode="External" /><Relationship Type="http://schemas.openxmlformats.org/officeDocument/2006/relationships/hyperlink" Id="rId21" Target="https://mcot.ru/novosti/novye-osobennosti-sout-dlya-medrabotnikov.html" TargetMode="External" /><Relationship Type="http://schemas.openxmlformats.org/officeDocument/2006/relationships/hyperlink" Id="rId20" Target="https://normativ.kontur.ru/document?moduleId=1&amp;documentId=4944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3042061.html" TargetMode="External" /><Relationship Type="http://schemas.openxmlformats.org/officeDocument/2006/relationships/hyperlink" Id="rId21" Target="https://mcot.ru/novosti/novye-osobennosti-sout-dlya-medrabotnikov.html" TargetMode="External" /><Relationship Type="http://schemas.openxmlformats.org/officeDocument/2006/relationships/hyperlink" Id="rId20" Target="https://normativ.kontur.ru/document?moduleId=1&amp;documentId=4944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2025-07-20T09:03:35Z</dcterms:created>
  <dcterms:modified xsi:type="dcterms:W3CDTF">2025-07-20T09:03:35Z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